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2027"/>
        <w:gridCol w:w="2509"/>
      </w:tblGrid>
      <w:tr w:rsidR="003031F1" w:rsidTr="007413FE">
        <w:trPr>
          <w:cnfStyle w:val="1000000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Combining Forms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100000000000"/>
            </w:pP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Ankyl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Stiff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Arthr</w:t>
            </w:r>
            <w:proofErr w:type="spellEnd"/>
            <w:r>
              <w:t xml:space="preserve">(o), </w:t>
            </w:r>
            <w:proofErr w:type="spellStart"/>
            <w:r>
              <w:t>articul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 w:rsidP="003031F1">
            <w:pPr>
              <w:ind w:firstLine="0"/>
              <w:cnfStyle w:val="000000000000"/>
            </w:pPr>
            <w:r>
              <w:t>Joint; articulation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Aut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Self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Blast(o)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Embryonic form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Burs(o)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Bursa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Calc(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Calcium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Calcane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Heel bone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Carp(o)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Wrist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Chondr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Cartilage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Clavicul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Clavicle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Coccyg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Coccyx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Cost(o)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Ribs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Crani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Cranium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Fasci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Fascia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Femor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Femur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Fibul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Fibula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Humer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Humerus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r>
              <w:t>Ili(o)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Ilium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Ischi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proofErr w:type="spellStart"/>
            <w:r>
              <w:t>Ischium</w:t>
            </w:r>
            <w:proofErr w:type="spellEnd"/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Lumb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Lower back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Muscul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Muscle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Myel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Bone marrow or spinal cord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Orth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Straight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Oste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Bone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Patell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Patella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Pelv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000000"/>
            </w:pPr>
            <w:r>
              <w:t>Pelvis</w:t>
            </w:r>
          </w:p>
        </w:tc>
      </w:tr>
      <w:tr w:rsidR="003031F1" w:rsidTr="007413FE">
        <w:trPr>
          <w:cnfStyle w:val="000000100000"/>
        </w:trPr>
        <w:tc>
          <w:tcPr>
            <w:cnfStyle w:val="001000000000"/>
            <w:tcW w:w="2661" w:type="dxa"/>
          </w:tcPr>
          <w:p w:rsidR="003031F1" w:rsidRDefault="003031F1">
            <w:pPr>
              <w:ind w:firstLine="0"/>
            </w:pPr>
            <w:proofErr w:type="spellStart"/>
            <w:r>
              <w:t>Phalang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3031F1" w:rsidRDefault="003031F1">
            <w:pPr>
              <w:ind w:firstLine="0"/>
              <w:cnfStyle w:val="000000100000"/>
            </w:pPr>
            <w:r>
              <w:t>Phalanges</w:t>
            </w:r>
          </w:p>
        </w:tc>
      </w:tr>
      <w:tr w:rsidR="003031F1" w:rsidTr="007413FE">
        <w:tc>
          <w:tcPr>
            <w:cnfStyle w:val="001000000000"/>
            <w:tcW w:w="2661" w:type="dxa"/>
          </w:tcPr>
          <w:p w:rsidR="003031F1" w:rsidRDefault="007413FE">
            <w:pPr>
              <w:ind w:firstLine="0"/>
            </w:pPr>
            <w:r>
              <w:t>Pub(o)</w:t>
            </w:r>
          </w:p>
        </w:tc>
        <w:tc>
          <w:tcPr>
            <w:tcW w:w="3496" w:type="dxa"/>
          </w:tcPr>
          <w:p w:rsidR="003031F1" w:rsidRDefault="007413FE">
            <w:pPr>
              <w:ind w:firstLine="0"/>
              <w:cnfStyle w:val="000000000000"/>
            </w:pPr>
            <w:r>
              <w:t>Pubis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Rach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 xml:space="preserve">), </w:t>
            </w:r>
            <w:proofErr w:type="spellStart"/>
            <w:r>
              <w:t>rachi</w:t>
            </w:r>
            <w:proofErr w:type="spellEnd"/>
            <w:r>
              <w:t>(o), spin(o)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100000"/>
            </w:pPr>
            <w:r>
              <w:t>Spine</w:t>
            </w:r>
          </w:p>
        </w:tc>
      </w:tr>
      <w:tr w:rsidR="007413FE" w:rsidTr="007413FE"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Radi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000000"/>
            </w:pPr>
            <w:r>
              <w:t>Radius (sometimes, radiant energy)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Sacr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100000"/>
            </w:pPr>
            <w:r>
              <w:t>Sacrum</w:t>
            </w:r>
          </w:p>
        </w:tc>
      </w:tr>
      <w:tr w:rsidR="007413FE" w:rsidTr="007413FE"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Spondyl</w:t>
            </w:r>
            <w:proofErr w:type="spellEnd"/>
            <w:r>
              <w:t xml:space="preserve">(o), </w:t>
            </w:r>
            <w:proofErr w:type="spellStart"/>
            <w:r>
              <w:t>vertebr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000000"/>
            </w:pPr>
            <w:r>
              <w:t>Vertebrae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r>
              <w:t>Stern(o)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100000"/>
            </w:pPr>
            <w:r>
              <w:t>Sternum</w:t>
            </w:r>
          </w:p>
        </w:tc>
      </w:tr>
      <w:tr w:rsidR="007413FE" w:rsidTr="007413FE"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Synov</w:t>
            </w:r>
            <w:proofErr w:type="spellEnd"/>
            <w:r>
              <w:t xml:space="preserve">(o), </w:t>
            </w:r>
            <w:proofErr w:type="spellStart"/>
            <w:r>
              <w:t>synovi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000000"/>
            </w:pPr>
            <w:r>
              <w:t>Synovial membrane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r>
              <w:t>Tars(o)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100000"/>
            </w:pPr>
            <w:r>
              <w:t xml:space="preserve">Tarsus (sometimes, edge of </w:t>
            </w:r>
            <w:proofErr w:type="spellStart"/>
            <w:r>
              <w:t>eylid</w:t>
            </w:r>
            <w:proofErr w:type="spellEnd"/>
            <w:r>
              <w:t>)</w:t>
            </w:r>
          </w:p>
        </w:tc>
      </w:tr>
      <w:tr w:rsidR="007413FE" w:rsidTr="007413FE"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r>
              <w:t xml:space="preserve">Ten(o), tend(o), </w:t>
            </w:r>
            <w:proofErr w:type="spellStart"/>
            <w:r>
              <w:t>tendin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000000"/>
            </w:pPr>
            <w:r>
              <w:t>Tendon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Tibi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100000"/>
            </w:pPr>
            <w:r>
              <w:t>Tibia</w:t>
            </w:r>
          </w:p>
        </w:tc>
      </w:tr>
      <w:tr w:rsidR="007413FE" w:rsidTr="007413FE"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Troph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000000"/>
            </w:pPr>
            <w:r>
              <w:t>Nutrition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Uln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100000"/>
            </w:pPr>
            <w:r>
              <w:t>Ulna</w:t>
            </w:r>
          </w:p>
        </w:tc>
      </w:tr>
      <w:tr w:rsidR="007413FE" w:rsidTr="007413FE">
        <w:tc>
          <w:tcPr>
            <w:cnfStyle w:val="001000000000"/>
            <w:tcW w:w="2661" w:type="dxa"/>
          </w:tcPr>
          <w:p w:rsidR="007413FE" w:rsidRDefault="007413FE">
            <w:pPr>
              <w:ind w:firstLine="0"/>
            </w:pPr>
            <w:proofErr w:type="spellStart"/>
            <w:r>
              <w:t>Viscer</w:t>
            </w:r>
            <w:proofErr w:type="spellEnd"/>
            <w:r>
              <w:t>(o)</w:t>
            </w:r>
          </w:p>
        </w:tc>
        <w:tc>
          <w:tcPr>
            <w:tcW w:w="3496" w:type="dxa"/>
          </w:tcPr>
          <w:p w:rsidR="007413FE" w:rsidRDefault="007413FE">
            <w:pPr>
              <w:ind w:firstLine="0"/>
              <w:cnfStyle w:val="000000000000"/>
            </w:pPr>
            <w:r>
              <w:t xml:space="preserve">Viscera </w:t>
            </w:r>
          </w:p>
        </w:tc>
      </w:tr>
    </w:tbl>
    <w:p w:rsidR="00B83DA4" w:rsidRDefault="00B83DA4"/>
    <w:tbl>
      <w:tblPr>
        <w:tblStyle w:val="LightShading"/>
        <w:tblW w:w="0" w:type="auto"/>
        <w:tblLook w:val="04A0"/>
      </w:tblPr>
      <w:tblGrid>
        <w:gridCol w:w="1055"/>
        <w:gridCol w:w="2114"/>
      </w:tblGrid>
      <w:tr w:rsidR="007413FE" w:rsidTr="007413FE">
        <w:trPr>
          <w:cnfStyle w:val="100000000000"/>
        </w:trPr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Prefixes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100000000000"/>
            </w:pP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proofErr w:type="spellStart"/>
            <w:r>
              <w:t>Ab</w:t>
            </w:r>
            <w:proofErr w:type="spellEnd"/>
            <w:r>
              <w:t>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100000"/>
            </w:pPr>
            <w:r>
              <w:t>Away from</w:t>
            </w:r>
          </w:p>
        </w:tc>
      </w:tr>
      <w:tr w:rsidR="007413FE" w:rsidTr="007413FE"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Ad-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000000"/>
            </w:pPr>
            <w:r>
              <w:t>Toward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Infra-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100000"/>
            </w:pPr>
            <w:r>
              <w:t>Situated below</w:t>
            </w:r>
          </w:p>
        </w:tc>
      </w:tr>
      <w:tr w:rsidR="007413FE" w:rsidTr="007413FE"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Meta-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000000"/>
            </w:pPr>
            <w:r>
              <w:t>Change or next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Retro-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100000"/>
            </w:pPr>
            <w:r>
              <w:t>Backward or behind</w:t>
            </w:r>
          </w:p>
        </w:tc>
      </w:tr>
      <w:tr w:rsidR="007413FE" w:rsidTr="007413FE"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Super-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000000"/>
            </w:pPr>
            <w:r>
              <w:t>Above or excess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r>
              <w:t>Supra-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100000"/>
            </w:pPr>
            <w:r>
              <w:t>Above</w:t>
            </w:r>
          </w:p>
        </w:tc>
      </w:tr>
      <w:tr w:rsidR="007413FE" w:rsidTr="007413FE">
        <w:tc>
          <w:tcPr>
            <w:cnfStyle w:val="001000000000"/>
            <w:tcW w:w="1055" w:type="dxa"/>
          </w:tcPr>
          <w:p w:rsidR="007413FE" w:rsidRDefault="007413FE">
            <w:pPr>
              <w:ind w:firstLine="0"/>
            </w:pPr>
            <w:proofErr w:type="spellStart"/>
            <w:r>
              <w:t>Syn</w:t>
            </w:r>
            <w:proofErr w:type="spellEnd"/>
            <w:r>
              <w:t>-</w:t>
            </w:r>
          </w:p>
        </w:tc>
        <w:tc>
          <w:tcPr>
            <w:tcW w:w="2114" w:type="dxa"/>
          </w:tcPr>
          <w:p w:rsidR="007413FE" w:rsidRDefault="007413FE">
            <w:pPr>
              <w:ind w:firstLine="0"/>
              <w:cnfStyle w:val="000000000000"/>
            </w:pPr>
            <w:r>
              <w:t>Joined; together</w:t>
            </w:r>
          </w:p>
        </w:tc>
      </w:tr>
    </w:tbl>
    <w:p w:rsidR="007413FE" w:rsidRDefault="007413FE"/>
    <w:p w:rsidR="009514C3" w:rsidRDefault="009514C3"/>
    <w:tbl>
      <w:tblPr>
        <w:tblStyle w:val="LightShading"/>
        <w:tblW w:w="0" w:type="auto"/>
        <w:tblLook w:val="04A0"/>
      </w:tblPr>
      <w:tblGrid>
        <w:gridCol w:w="1176"/>
        <w:gridCol w:w="2396"/>
      </w:tblGrid>
      <w:tr w:rsidR="007413FE" w:rsidTr="007413FE">
        <w:trPr>
          <w:cnfStyle w:val="100000000000"/>
        </w:trPr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Suffixes</w:t>
            </w:r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100000000000"/>
            </w:pP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-asthenia</w:t>
            </w:r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100000"/>
            </w:pPr>
            <w:r>
              <w:t>Weakness</w:t>
            </w:r>
          </w:p>
        </w:tc>
      </w:tr>
      <w:tr w:rsidR="007413FE" w:rsidTr="007413FE"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-blast</w:t>
            </w:r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000000"/>
            </w:pPr>
            <w:r>
              <w:t>Embryonic form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</w:t>
            </w:r>
            <w:proofErr w:type="spellStart"/>
            <w:r>
              <w:t>clasia</w:t>
            </w:r>
            <w:proofErr w:type="spellEnd"/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100000"/>
            </w:pPr>
            <w:r>
              <w:t>Break</w:t>
            </w:r>
          </w:p>
        </w:tc>
      </w:tr>
      <w:tr w:rsidR="007413FE" w:rsidTr="007413FE"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</w:t>
            </w:r>
            <w:proofErr w:type="spellStart"/>
            <w:r>
              <w:t>desis</w:t>
            </w:r>
            <w:proofErr w:type="spellEnd"/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000000"/>
            </w:pPr>
            <w:r>
              <w:t>Binding; fusion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</w:t>
            </w:r>
            <w:proofErr w:type="spellStart"/>
            <w:r>
              <w:t>malacia</w:t>
            </w:r>
            <w:proofErr w:type="spellEnd"/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100000"/>
            </w:pPr>
            <w:r>
              <w:t>Abnormal softening</w:t>
            </w:r>
          </w:p>
        </w:tc>
      </w:tr>
      <w:tr w:rsidR="007413FE" w:rsidTr="007413FE"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-sarcoma</w:t>
            </w:r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000000"/>
            </w:pPr>
            <w:r>
              <w:t xml:space="preserve">Malignant tumor from </w:t>
            </w:r>
          </w:p>
          <w:p w:rsidR="007413FE" w:rsidRDefault="007413FE">
            <w:pPr>
              <w:ind w:firstLine="0"/>
              <w:cnfStyle w:val="000000000000"/>
            </w:pPr>
            <w:r>
              <w:t>connective tissue</w:t>
            </w:r>
          </w:p>
        </w:tc>
      </w:tr>
      <w:tr w:rsidR="007413FE" w:rsidTr="007413FE">
        <w:trPr>
          <w:cnfStyle w:val="000000100000"/>
        </w:trPr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</w:t>
            </w:r>
            <w:proofErr w:type="spellStart"/>
            <w:r>
              <w:t>schisis</w:t>
            </w:r>
            <w:proofErr w:type="spellEnd"/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100000"/>
            </w:pPr>
            <w:r>
              <w:t>Split</w:t>
            </w:r>
          </w:p>
        </w:tc>
      </w:tr>
      <w:tr w:rsidR="007413FE" w:rsidTr="007413FE">
        <w:tc>
          <w:tcPr>
            <w:cnfStyle w:val="001000000000"/>
            <w:tcW w:w="1176" w:type="dxa"/>
          </w:tcPr>
          <w:p w:rsidR="007413FE" w:rsidRDefault="007413FE">
            <w:pPr>
              <w:ind w:firstLine="0"/>
            </w:pPr>
            <w:r>
              <w:t>-trophy</w:t>
            </w:r>
          </w:p>
        </w:tc>
        <w:tc>
          <w:tcPr>
            <w:tcW w:w="2396" w:type="dxa"/>
          </w:tcPr>
          <w:p w:rsidR="007413FE" w:rsidRDefault="007413FE">
            <w:pPr>
              <w:ind w:firstLine="0"/>
              <w:cnfStyle w:val="000000000000"/>
            </w:pPr>
            <w:proofErr w:type="spellStart"/>
            <w:r>
              <w:t>nutrtion</w:t>
            </w:r>
            <w:proofErr w:type="spellEnd"/>
          </w:p>
        </w:tc>
      </w:tr>
    </w:tbl>
    <w:p w:rsidR="007413FE" w:rsidRDefault="007413FE"/>
    <w:sectPr w:rsidR="007413FE" w:rsidSect="009514C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0A" w:rsidRDefault="00ED640A" w:rsidP="009514C3">
      <w:r>
        <w:separator/>
      </w:r>
    </w:p>
  </w:endnote>
  <w:endnote w:type="continuationSeparator" w:id="0">
    <w:p w:rsidR="00ED640A" w:rsidRDefault="00ED640A" w:rsidP="0095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0A" w:rsidRDefault="00ED640A" w:rsidP="009514C3">
      <w:r>
        <w:separator/>
      </w:r>
    </w:p>
  </w:footnote>
  <w:footnote w:type="continuationSeparator" w:id="0">
    <w:p w:rsidR="00ED640A" w:rsidRDefault="00ED640A" w:rsidP="00951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C3" w:rsidRDefault="009514C3">
    <w:pPr>
      <w:pStyle w:val="Header"/>
    </w:pPr>
    <w:r>
      <w:t>Muscular and Skeletal Systems</w:t>
    </w:r>
  </w:p>
  <w:p w:rsidR="009514C3" w:rsidRDefault="009514C3">
    <w:pPr>
      <w:pStyle w:val="Header"/>
    </w:pPr>
    <w:r>
      <w:t>Principal Word Parts</w:t>
    </w:r>
  </w:p>
  <w:p w:rsidR="009514C3" w:rsidRDefault="009514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F1"/>
    <w:rsid w:val="003031F1"/>
    <w:rsid w:val="007413FE"/>
    <w:rsid w:val="007802CC"/>
    <w:rsid w:val="008D0F59"/>
    <w:rsid w:val="009514C3"/>
    <w:rsid w:val="00B678B7"/>
    <w:rsid w:val="00B83DA4"/>
    <w:rsid w:val="00D7552E"/>
    <w:rsid w:val="00E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13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C3"/>
  </w:style>
  <w:style w:type="paragraph" w:styleId="Footer">
    <w:name w:val="footer"/>
    <w:basedOn w:val="Normal"/>
    <w:link w:val="FooterChar"/>
    <w:uiPriority w:val="99"/>
    <w:semiHidden/>
    <w:unhideWhenUsed/>
    <w:rsid w:val="0095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C3"/>
  </w:style>
  <w:style w:type="paragraph" w:styleId="BalloonText">
    <w:name w:val="Balloon Text"/>
    <w:basedOn w:val="Normal"/>
    <w:link w:val="BalloonTextChar"/>
    <w:uiPriority w:val="99"/>
    <w:semiHidden/>
    <w:unhideWhenUsed/>
    <w:rsid w:val="0095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2012-11-05T22:43:00Z</dcterms:created>
  <dcterms:modified xsi:type="dcterms:W3CDTF">2012-11-05T22:43:00Z</dcterms:modified>
</cp:coreProperties>
</file>